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A06F3" w14:textId="24BB5B34" w:rsidR="00505B08" w:rsidRDefault="00E151CA">
      <w:pPr>
        <w:pStyle w:val="Bodytext30"/>
        <w:shd w:val="clear" w:color="auto" w:fill="auto"/>
        <w:ind w:left="220"/>
      </w:pPr>
      <w:r>
        <w:t>Инструкция по применению</w:t>
      </w:r>
      <w:r>
        <w:br/>
        <w:t>Гаст</w:t>
      </w:r>
      <w:r w:rsidR="009812BD">
        <w:t>ритол пастилки</w:t>
      </w:r>
      <w:r w:rsidR="009812BD">
        <w:br/>
        <w:t>(</w:t>
      </w:r>
      <w:r w:rsidR="009812BD">
        <w:rPr>
          <w:lang w:val="en-US"/>
        </w:rPr>
        <w:t>Gastritol</w:t>
      </w:r>
      <w:r w:rsidR="009812BD" w:rsidRPr="00DA5E2B">
        <w:t xml:space="preserve"> </w:t>
      </w:r>
      <w:r w:rsidR="009812BD">
        <w:rPr>
          <w:lang w:val="en-US"/>
        </w:rPr>
        <w:t>lozenges</w:t>
      </w:r>
      <w:r>
        <w:t>)</w:t>
      </w:r>
    </w:p>
    <w:p w14:paraId="18E9666E" w14:textId="77777777" w:rsidR="00505B08" w:rsidRDefault="00E151CA">
      <w:pPr>
        <w:pStyle w:val="Bodytext20"/>
        <w:shd w:val="clear" w:color="auto" w:fill="auto"/>
        <w:spacing w:after="295" w:line="240" w:lineRule="exact"/>
        <w:ind w:left="220"/>
      </w:pPr>
      <w:r>
        <w:t>Биологически активная добавка к пище</w:t>
      </w:r>
    </w:p>
    <w:p w14:paraId="4D0B4EBF" w14:textId="77777777" w:rsidR="00505B08" w:rsidRDefault="00E151CA">
      <w:pPr>
        <w:pStyle w:val="Bodytext20"/>
        <w:shd w:val="clear" w:color="auto" w:fill="auto"/>
        <w:spacing w:after="0" w:line="312" w:lineRule="exact"/>
        <w:ind w:right="340"/>
        <w:jc w:val="both"/>
      </w:pPr>
      <w:r>
        <w:rPr>
          <w:rStyle w:val="Bodytext2Bold"/>
        </w:rPr>
        <w:t xml:space="preserve">Состав: </w:t>
      </w:r>
      <w:r>
        <w:t xml:space="preserve">носитель и подсластитель мальтитол; носитель гуммиарабик; экстракт листьев мелиссы лекарственной </w:t>
      </w:r>
      <w:r>
        <w:rPr>
          <w:rStyle w:val="Bodytext2Italic"/>
        </w:rPr>
        <w:t>(МеНзза оШстаНз</w:t>
      </w:r>
      <w:r>
        <w:t xml:space="preserve"> 7еа/(Б) - В/Е 3-4,5:1); экстракт корня солодки </w:t>
      </w:r>
      <w:r>
        <w:rPr>
          <w:rStyle w:val="Bodytext2Italic"/>
        </w:rPr>
        <w:t>(Ыдиопдие гоос.</w:t>
      </w:r>
      <w:r>
        <w:t xml:space="preserve"> Высушенный распылением - Б/Е 4:1); СОг-экстракт цветков ромашки </w:t>
      </w:r>
      <w:r>
        <w:rPr>
          <w:rStyle w:val="Bodytext2Italic"/>
        </w:rPr>
        <w:t>(СЬатотШа гесита Побега</w:t>
      </w:r>
      <w:r>
        <w:t xml:space="preserve"> - В/Е 20-33:1); глазирующий агент среднецепочные триглицериды; ароматизатор настойка горечавки; СОг-экстракт корня имбиря (</w:t>
      </w:r>
      <w:r>
        <w:rPr>
          <w:rStyle w:val="Bodytext2Italic"/>
        </w:rPr>
        <w:t>2т§1Ьег оШстаНз</w:t>
      </w:r>
      <w:r>
        <w:t xml:space="preserve"> - </w:t>
      </w:r>
      <w:r>
        <w:rPr>
          <w:rStyle w:val="Bodytext2Italic"/>
        </w:rPr>
        <w:t>КЫготе</w:t>
      </w:r>
      <w:r>
        <w:t xml:space="preserve"> - Б/Е 17-22:1); ароматизатор масло мяты перечной; подсластитель сукралоза; ароматизаторы: ментол, масло тмина; вода очищенная.</w:t>
      </w:r>
    </w:p>
    <w:p w14:paraId="45D8C57C" w14:textId="77777777" w:rsidR="00505B08" w:rsidRDefault="00E151CA">
      <w:pPr>
        <w:pStyle w:val="Bodytext20"/>
        <w:shd w:val="clear" w:color="auto" w:fill="auto"/>
        <w:spacing w:after="0" w:line="274" w:lineRule="exact"/>
        <w:jc w:val="both"/>
      </w:pPr>
      <w:r>
        <w:t>Без лактозы. Без ГМО. Пригодно для веганов.</w:t>
      </w:r>
    </w:p>
    <w:p w14:paraId="281D068E" w14:textId="77777777" w:rsidR="00505B08" w:rsidRDefault="00E151CA">
      <w:pPr>
        <w:pStyle w:val="Bodytext20"/>
        <w:shd w:val="clear" w:color="auto" w:fill="auto"/>
        <w:spacing w:after="0" w:line="274" w:lineRule="exact"/>
        <w:ind w:right="340"/>
        <w:jc w:val="both"/>
      </w:pPr>
      <w:r>
        <w:t>Содержит подсластители. Чрезмерное употребление может вызывать слабительное действие.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1421"/>
        <w:gridCol w:w="1570"/>
      </w:tblGrid>
      <w:tr w:rsidR="00505B08" w14:paraId="6386848E" w14:textId="77777777">
        <w:trPr>
          <w:trHeight w:hRule="exact" w:val="57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14DA0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78" w:lineRule="exact"/>
              <w:jc w:val="both"/>
            </w:pPr>
            <w:r>
              <w:rPr>
                <w:rStyle w:val="Bodytext2Bold0"/>
              </w:rPr>
              <w:t>Активные ингредиенты в рекомендуемой суточной дозе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BDD5F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60" w:line="240" w:lineRule="exact"/>
              <w:jc w:val="left"/>
            </w:pPr>
            <w:r>
              <w:rPr>
                <w:rStyle w:val="Bodytext2Bold0"/>
              </w:rPr>
              <w:t>1 пастилка</w:t>
            </w:r>
          </w:p>
          <w:p w14:paraId="7848753A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before="60" w:after="0" w:line="400" w:lineRule="exact"/>
            </w:pPr>
            <w:r>
              <w:rPr>
                <w:rStyle w:val="Bodytext220pt"/>
              </w:rPr>
              <w:t xml:space="preserve">а </w:t>
            </w:r>
            <w:r>
              <w:rPr>
                <w:rStyle w:val="Bodytext2Bold0"/>
              </w:rPr>
              <w:t>г)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62BAF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78" w:lineRule="exact"/>
            </w:pPr>
            <w:r>
              <w:rPr>
                <w:rStyle w:val="Bodytext2Bold0"/>
              </w:rPr>
              <w:t>3 пастилки (Зг)</w:t>
            </w:r>
          </w:p>
        </w:tc>
      </w:tr>
      <w:tr w:rsidR="00505B08" w14:paraId="2CD1BF6A" w14:textId="77777777">
        <w:trPr>
          <w:trHeight w:hRule="exact" w:val="28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82D54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1"/>
              </w:rPr>
              <w:t>Экстракт листьев мелиссы лекарственной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FBF03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15,2 мг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FCB94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45,6 мг</w:t>
            </w:r>
          </w:p>
        </w:tc>
      </w:tr>
      <w:tr w:rsidR="00505B08" w14:paraId="4B0F0CD1" w14:textId="77777777">
        <w:trPr>
          <w:trHeight w:hRule="exact" w:val="283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90666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1"/>
              </w:rPr>
              <w:t>Экстракт корня солодки (порошок)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73612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15,2 мг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22129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45,6 мг</w:t>
            </w:r>
          </w:p>
        </w:tc>
      </w:tr>
      <w:tr w:rsidR="00505B08" w14:paraId="4B984750" w14:textId="77777777">
        <w:trPr>
          <w:trHeight w:hRule="exact" w:val="28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B8F7C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1"/>
              </w:rPr>
              <w:t>СОг-экстракт цветков ромашки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C4E8F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7,2 мг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E7481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21,6 мг</w:t>
            </w:r>
          </w:p>
        </w:tc>
      </w:tr>
      <w:tr w:rsidR="00505B08" w14:paraId="41F65F90" w14:textId="77777777">
        <w:trPr>
          <w:trHeight w:hRule="exact" w:val="29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F4A8B9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1"/>
              </w:rPr>
              <w:t>СОг-экстракт корня имбиря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F980D2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1 мг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FDA4B" w14:textId="77777777" w:rsidR="00505B08" w:rsidRDefault="00E151CA">
            <w:pPr>
              <w:pStyle w:val="Bodytext20"/>
              <w:framePr w:w="8074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Bodytext21"/>
              </w:rPr>
              <w:t>3 мг</w:t>
            </w:r>
          </w:p>
        </w:tc>
      </w:tr>
    </w:tbl>
    <w:p w14:paraId="23BCFBF1" w14:textId="77777777" w:rsidR="00505B08" w:rsidRDefault="00E151CA">
      <w:pPr>
        <w:pStyle w:val="Tablecaption0"/>
        <w:framePr w:w="8074" w:wrap="notBeside" w:vAnchor="text" w:hAnchor="text" w:y="1"/>
        <w:shd w:val="clear" w:color="auto" w:fill="auto"/>
        <w:spacing w:line="240" w:lineRule="exact"/>
      </w:pPr>
      <w:r>
        <w:rPr>
          <w:rStyle w:val="TablecaptionBold"/>
        </w:rPr>
        <w:t xml:space="preserve">Форма выпуска: </w:t>
      </w:r>
      <w:r>
        <w:t>пастилки для рассасывания.</w:t>
      </w:r>
    </w:p>
    <w:p w14:paraId="241A2438" w14:textId="77777777" w:rsidR="00505B08" w:rsidRDefault="00505B08">
      <w:pPr>
        <w:framePr w:w="8074" w:wrap="notBeside" w:vAnchor="text" w:hAnchor="text" w:y="1"/>
        <w:rPr>
          <w:sz w:val="2"/>
          <w:szCs w:val="2"/>
        </w:rPr>
      </w:pPr>
    </w:p>
    <w:p w14:paraId="19EC3FC1" w14:textId="77777777" w:rsidR="00505B08" w:rsidRDefault="00505B08">
      <w:pPr>
        <w:rPr>
          <w:sz w:val="2"/>
          <w:szCs w:val="2"/>
        </w:rPr>
      </w:pPr>
    </w:p>
    <w:p w14:paraId="17568690" w14:textId="77777777" w:rsidR="00505B08" w:rsidRDefault="00E151CA">
      <w:pPr>
        <w:pStyle w:val="Bodytext20"/>
        <w:shd w:val="clear" w:color="auto" w:fill="auto"/>
        <w:spacing w:before="189" w:after="240" w:line="274" w:lineRule="exact"/>
        <w:ind w:right="340"/>
        <w:jc w:val="both"/>
      </w:pPr>
      <w:r>
        <w:rPr>
          <w:rStyle w:val="Bodytext2Bold"/>
        </w:rPr>
        <w:t xml:space="preserve">Описание и свойства: </w:t>
      </w:r>
      <w:r>
        <w:t>согласно общедоступным литературным источникам, компоненты, входящие в состав Гастритол пастилки, обладают следующими свойствами:</w:t>
      </w:r>
    </w:p>
    <w:p w14:paraId="6D7505AC" w14:textId="77777777" w:rsidR="00505B08" w:rsidRDefault="00E151CA">
      <w:pPr>
        <w:pStyle w:val="Bodytext20"/>
        <w:shd w:val="clear" w:color="auto" w:fill="auto"/>
        <w:spacing w:after="60" w:line="274" w:lineRule="exact"/>
        <w:ind w:right="340"/>
        <w:jc w:val="both"/>
      </w:pPr>
      <w:r>
        <w:rPr>
          <w:rStyle w:val="Bodytext2Italic"/>
        </w:rPr>
        <w:t>Экстракт цветков ромашки</w:t>
      </w:r>
      <w:r>
        <w:t xml:space="preserve"> содержит 10-20% смеси эфирных масел. Основными компонентами эфирных масел, извлекаемых из цветков ромашки, являются: альфа- бисаболол, оксиды альфа-бисаболола А и В, матрицин, производные хамазулена и ацетилена, фенольные соединения (флавоноиды, апигенин, кверцетин, патулетин в виде глюкозидов и ацетилированные производные, которые обладают противовоспалительными свойствами). Экстракт цветков ромашки используется при различных желудочно-кишечных расстройствах, таких как, метеоризм, раздражение или воспаление слизистой желудочно-кишечного тракта, диарея, колики, укачивание, тошнота и рвота. Успокаивает желудок и расслабляет мышцы, которые перемещают пищу по кишечнику.</w:t>
      </w:r>
    </w:p>
    <w:p w14:paraId="3D677CA3" w14:textId="77777777" w:rsidR="00505B08" w:rsidRDefault="00E151CA">
      <w:pPr>
        <w:pStyle w:val="Bodytext20"/>
        <w:shd w:val="clear" w:color="auto" w:fill="auto"/>
        <w:spacing w:after="60" w:line="274" w:lineRule="exact"/>
        <w:ind w:right="340"/>
        <w:jc w:val="both"/>
      </w:pPr>
      <w:r>
        <w:rPr>
          <w:rStyle w:val="Bodytext2Italic"/>
        </w:rPr>
        <w:t>Экстракт корня солодки</w:t>
      </w:r>
      <w:r>
        <w:t xml:space="preserve"> является источником белков, аминокислот, полисахаридов и простых сахаров, минеральных солей, таких как, кальций, фосфор, натрий, калий, железо, магний, кремний, селен, марганец, цинк и медь; пектинов, смол, крахмалов, стеринов, а также биологических соединений, таких как, тритерпены, сапонины (отвечающие за сладкий вкус) и флавоноиды. Основным соединением является глицирризин, который может повышать концентрацию простагландинов в пищеварительном тракте, способствуя секреции желудочной слизи. Увеличивает секрецию серотонина и простагландинов в желудке, что способствует уменьшению воспаления желудка.</w:t>
      </w:r>
    </w:p>
    <w:p w14:paraId="46255B72" w14:textId="77777777" w:rsidR="00505B08" w:rsidRDefault="00E151CA">
      <w:pPr>
        <w:pStyle w:val="Bodytext20"/>
        <w:shd w:val="clear" w:color="auto" w:fill="auto"/>
        <w:spacing w:after="111" w:line="274" w:lineRule="exact"/>
        <w:jc w:val="left"/>
      </w:pPr>
      <w:r>
        <w:rPr>
          <w:rStyle w:val="Bodytext2Italic"/>
        </w:rPr>
        <w:t>Экстракт листьев мелиссы лекарственной</w:t>
      </w:r>
      <w:r>
        <w:t xml:space="preserve"> содержит флавоноиды (кверцщрин, рамноцитрин, лютеолин), полифенольные соединения (розмариновая, кофейная протокатеховая кислоты), монотерпеноидный альдегид, монотерпеновые гликозйДф, .” тритерпены (урсоловая и олеанолиновая кислоты, масла и олеанитерпеноловая кислота)^ Биологически активные вещества стимулируют секрецию желудочногр сркйу улуйшЕю] аппетит, оказывают спазмолитическое и успокаивающее действие.</w:t>
      </w:r>
    </w:p>
    <w:p w14:paraId="22320347" w14:textId="77777777" w:rsidR="00505B08" w:rsidRDefault="00E151CA">
      <w:pPr>
        <w:pStyle w:val="Bodytext40"/>
        <w:shd w:val="clear" w:color="auto" w:fill="auto"/>
        <w:spacing w:before="0" w:after="192" w:line="210" w:lineRule="exact"/>
        <w:ind w:left="8400"/>
      </w:pPr>
      <w:r>
        <w:rPr>
          <w:rStyle w:val="Bodytext41"/>
        </w:rPr>
        <w:t>012552</w:t>
      </w:r>
    </w:p>
    <w:p w14:paraId="73B46C9E" w14:textId="77777777" w:rsidR="00505B08" w:rsidRDefault="00E151CA">
      <w:pPr>
        <w:pStyle w:val="Bodytext50"/>
        <w:shd w:val="clear" w:color="auto" w:fill="auto"/>
        <w:spacing w:before="0" w:after="35" w:line="110" w:lineRule="exact"/>
        <w:ind w:left="8840"/>
      </w:pPr>
      <w:r>
        <w:rPr>
          <w:rStyle w:val="Bodytext51"/>
        </w:rPr>
        <w:t>*</w:t>
      </w:r>
    </w:p>
    <w:p w14:paraId="6BB7E195" w14:textId="77777777" w:rsidR="00505B08" w:rsidRDefault="00E151CA">
      <w:pPr>
        <w:pStyle w:val="Bodytext60"/>
        <w:shd w:val="clear" w:color="auto" w:fill="auto"/>
        <w:spacing w:before="0" w:line="100" w:lineRule="exact"/>
        <w:ind w:left="8840"/>
      </w:pPr>
      <w:r>
        <w:rPr>
          <w:rStyle w:val="Bodytext61"/>
        </w:rPr>
        <w:t>*</w:t>
      </w:r>
    </w:p>
    <w:p w14:paraId="0855F875" w14:textId="77777777" w:rsidR="00505B08" w:rsidRDefault="00E151CA">
      <w:pPr>
        <w:pStyle w:val="Bodytext20"/>
        <w:shd w:val="clear" w:color="auto" w:fill="auto"/>
        <w:spacing w:after="120" w:line="274" w:lineRule="exact"/>
        <w:ind w:right="560"/>
        <w:jc w:val="both"/>
      </w:pPr>
      <w:r>
        <w:rPr>
          <w:rStyle w:val="Bodytext2Italic"/>
        </w:rPr>
        <w:t>Экстракт корня имбиря</w:t>
      </w:r>
      <w:r>
        <w:t xml:space="preserve"> является источником различных химических составляющих, включая фенольные соединения, терпены, полисахариды, липиды и органические кислоты. Основные химические вещества: эфирные масла (цингиберен, цингиберол, лимонен, цинеол, борнеол, линалоол), олеорезин, в состав которых входят гингерол, шогол, микро- и макроэлементы (цинк, железо, калий, натрий, соли кальция, магния, фосфора). Экстракт </w:t>
      </w:r>
      <w:r>
        <w:lastRenderedPageBreak/>
        <w:t>корня имбиря обладает большим количеством биологических функций, в том числе антиоксидантной, противовоспалительной, противомикробной и другими. Одним из основных свойств является стимуляция аппетита и моторной функции пищеварительного тракта, также используется для устранения чувства тяжести в желудке и при тошноте.</w:t>
      </w:r>
    </w:p>
    <w:p w14:paraId="6529668F" w14:textId="77777777" w:rsidR="00505B08" w:rsidRDefault="00E151CA">
      <w:pPr>
        <w:pStyle w:val="Bodytext20"/>
        <w:shd w:val="clear" w:color="auto" w:fill="auto"/>
        <w:spacing w:after="221" w:line="274" w:lineRule="exact"/>
        <w:ind w:right="560"/>
        <w:jc w:val="both"/>
      </w:pPr>
      <w:r>
        <w:rPr>
          <w:rStyle w:val="Bodytext2Bold"/>
        </w:rPr>
        <w:t xml:space="preserve">Область применения: </w:t>
      </w:r>
      <w:r>
        <w:t>рекомендуется в качестве биологически активной добавки к пище, способствует поддержанию функционального состояния желудочно-кишечного тракта при расстройствах, тяжести в желудке после приема пищи, нарушенном аппетите, тошноте и дискомфорте, коликах и метеоризме, нарушенной дефекации. Способствует защите слизистой оболочки желудка и двенадцатиперстной кишки.</w:t>
      </w:r>
    </w:p>
    <w:p w14:paraId="005075C9" w14:textId="77777777" w:rsidR="00505B08" w:rsidRDefault="00E151CA">
      <w:pPr>
        <w:pStyle w:val="Bodytext20"/>
        <w:shd w:val="clear" w:color="auto" w:fill="auto"/>
        <w:spacing w:after="139" w:line="298" w:lineRule="exact"/>
        <w:ind w:right="560"/>
        <w:jc w:val="both"/>
      </w:pPr>
      <w:r>
        <w:rPr>
          <w:rStyle w:val="Bodytext2Bold"/>
        </w:rPr>
        <w:t xml:space="preserve">Рекомендации по применению: </w:t>
      </w:r>
      <w:r>
        <w:t>взрослым - по 1 пастилке 3 раза в сутки, независимо от приема пищи, при появлении симптомов, связанных с нарушением процесса пищеварения.</w:t>
      </w:r>
    </w:p>
    <w:p w14:paraId="29C360D6" w14:textId="77777777" w:rsidR="00505B08" w:rsidRDefault="00E151CA">
      <w:pPr>
        <w:pStyle w:val="Heading20"/>
        <w:keepNext/>
        <w:keepLines/>
        <w:shd w:val="clear" w:color="auto" w:fill="auto"/>
        <w:spacing w:before="0"/>
      </w:pPr>
      <w:bookmarkStart w:id="0" w:name="bookmark0"/>
      <w:r>
        <w:t xml:space="preserve">Продолжительность приема: </w:t>
      </w:r>
      <w:r>
        <w:rPr>
          <w:rStyle w:val="Heading2NotBold"/>
        </w:rPr>
        <w:t>3-4 недели.</w:t>
      </w:r>
      <w:bookmarkEnd w:id="0"/>
    </w:p>
    <w:p w14:paraId="4766A9CA" w14:textId="77777777" w:rsidR="00505B08" w:rsidRDefault="00E151CA">
      <w:pPr>
        <w:pStyle w:val="Bodytext20"/>
        <w:shd w:val="clear" w:color="auto" w:fill="auto"/>
        <w:spacing w:after="0" w:line="274" w:lineRule="exact"/>
        <w:jc w:val="both"/>
      </w:pPr>
      <w:r>
        <w:t>При необходимости прием можно продлить или повторить.</w:t>
      </w:r>
    </w:p>
    <w:p w14:paraId="488C8D83" w14:textId="77777777" w:rsidR="00505B08" w:rsidRDefault="00E151CA">
      <w:pPr>
        <w:pStyle w:val="Bodytext20"/>
        <w:shd w:val="clear" w:color="auto" w:fill="auto"/>
        <w:spacing w:after="0" w:line="274" w:lineRule="exact"/>
        <w:jc w:val="both"/>
      </w:pPr>
      <w:r>
        <w:t>Не рекомендуется превышать суточную дозу потребления.</w:t>
      </w:r>
    </w:p>
    <w:p w14:paraId="531DC057" w14:textId="77777777" w:rsidR="00505B08" w:rsidRDefault="00E151CA">
      <w:pPr>
        <w:pStyle w:val="Bodytext20"/>
        <w:shd w:val="clear" w:color="auto" w:fill="auto"/>
        <w:spacing w:after="147" w:line="274" w:lineRule="exact"/>
        <w:jc w:val="both"/>
      </w:pPr>
      <w:r>
        <w:t>Перед применением рекомендуется проконсультироваться с врачом.</w:t>
      </w:r>
    </w:p>
    <w:p w14:paraId="3768BD12" w14:textId="77777777" w:rsidR="00505B08" w:rsidRDefault="00E151CA">
      <w:pPr>
        <w:pStyle w:val="Bodytext20"/>
        <w:shd w:val="clear" w:color="auto" w:fill="auto"/>
        <w:spacing w:after="168" w:line="240" w:lineRule="exact"/>
        <w:jc w:val="both"/>
      </w:pPr>
      <w:r>
        <w:rPr>
          <w:rStyle w:val="Bodytext2Bold"/>
        </w:rPr>
        <w:t xml:space="preserve">Противопоказания: </w:t>
      </w:r>
      <w:r>
        <w:t>повышенная чувствительность к ингредиентам продукта.</w:t>
      </w:r>
    </w:p>
    <w:p w14:paraId="482A31DB" w14:textId="77777777" w:rsidR="00505B08" w:rsidRDefault="00E151CA">
      <w:pPr>
        <w:pStyle w:val="Heading20"/>
        <w:keepNext/>
        <w:keepLines/>
        <w:shd w:val="clear" w:color="auto" w:fill="auto"/>
        <w:spacing w:before="0" w:after="228" w:line="240" w:lineRule="exact"/>
      </w:pPr>
      <w:bookmarkStart w:id="1" w:name="bookmark1"/>
      <w:r>
        <w:t>Не является лекарственным средством.</w:t>
      </w:r>
      <w:bookmarkEnd w:id="1"/>
    </w:p>
    <w:p w14:paraId="15C781FE" w14:textId="77777777" w:rsidR="00505B08" w:rsidRDefault="00E151CA">
      <w:pPr>
        <w:pStyle w:val="Bodytext30"/>
        <w:shd w:val="clear" w:color="auto" w:fill="auto"/>
        <w:spacing w:after="215"/>
        <w:jc w:val="both"/>
      </w:pPr>
      <w:r>
        <w:t xml:space="preserve">Срок годности: </w:t>
      </w:r>
      <w:r>
        <w:rPr>
          <w:rStyle w:val="Bodytext3NotBold"/>
        </w:rPr>
        <w:t>36 месяцев.</w:t>
      </w:r>
    </w:p>
    <w:p w14:paraId="21D2A22D" w14:textId="77777777" w:rsidR="00505B08" w:rsidRDefault="00E151CA">
      <w:pPr>
        <w:pStyle w:val="Bodytext20"/>
        <w:shd w:val="clear" w:color="auto" w:fill="auto"/>
        <w:spacing w:after="263" w:line="269" w:lineRule="exact"/>
        <w:ind w:right="560"/>
        <w:jc w:val="both"/>
      </w:pPr>
      <w:r>
        <w:rPr>
          <w:rStyle w:val="Bodytext2Bold"/>
        </w:rPr>
        <w:t xml:space="preserve">Условия хранения: </w:t>
      </w:r>
      <w:r>
        <w:t>хранить в сухом, защищенном от попадания прямых солнечных лучей и недоступном для детей месте, при температуре не выше +25°С.</w:t>
      </w:r>
    </w:p>
    <w:p w14:paraId="28A454F7" w14:textId="77777777" w:rsidR="00505B08" w:rsidRDefault="00E151CA">
      <w:pPr>
        <w:pStyle w:val="Heading20"/>
        <w:keepNext/>
        <w:keepLines/>
        <w:shd w:val="clear" w:color="auto" w:fill="auto"/>
        <w:spacing w:before="0" w:after="58" w:line="240" w:lineRule="exact"/>
      </w:pPr>
      <w:bookmarkStart w:id="2" w:name="bookmark2"/>
      <w:r>
        <w:t>Упаковка:</w:t>
      </w:r>
      <w:bookmarkEnd w:id="2"/>
    </w:p>
    <w:p w14:paraId="435C5F8C" w14:textId="77777777" w:rsidR="00505B08" w:rsidRDefault="00E151CA">
      <w:pPr>
        <w:pStyle w:val="Bodytext20"/>
        <w:shd w:val="clear" w:color="auto" w:fill="auto"/>
        <w:spacing w:after="242" w:line="240" w:lineRule="exact"/>
        <w:jc w:val="both"/>
      </w:pPr>
      <w:r>
        <w:t>По 10 пастилок в блистере, 2 блистера в картонной коробке.</w:t>
      </w:r>
    </w:p>
    <w:p w14:paraId="49CA5334" w14:textId="77777777" w:rsidR="00505B08" w:rsidRDefault="00E151CA">
      <w:pPr>
        <w:pStyle w:val="Bodytext20"/>
        <w:shd w:val="clear" w:color="auto" w:fill="auto"/>
        <w:spacing w:after="53" w:line="240" w:lineRule="exact"/>
        <w:jc w:val="both"/>
      </w:pPr>
      <w:r>
        <w:rPr>
          <w:rStyle w:val="Bodytext2Bold"/>
        </w:rPr>
        <w:t xml:space="preserve">Производитель: </w:t>
      </w:r>
      <w:r>
        <w:t>Болдер Арцнаймиттель ГмбХ &amp; Ко. КГ, адрес: Рейнише Аллее 11,</w:t>
      </w:r>
    </w:p>
    <w:p w14:paraId="71E6C775" w14:textId="77777777" w:rsidR="00505B08" w:rsidRDefault="00E151CA">
      <w:pPr>
        <w:pStyle w:val="Bodytext20"/>
        <w:shd w:val="clear" w:color="auto" w:fill="auto"/>
        <w:spacing w:after="220" w:line="240" w:lineRule="exact"/>
        <w:jc w:val="both"/>
      </w:pPr>
      <w:r>
        <w:t>50858 Кельн, Германия</w:t>
      </w:r>
    </w:p>
    <w:p w14:paraId="3D7EBDFA" w14:textId="77777777" w:rsidR="00505B08" w:rsidRDefault="00E151CA">
      <w:pPr>
        <w:pStyle w:val="Bodytext20"/>
        <w:shd w:val="clear" w:color="auto" w:fill="auto"/>
        <w:spacing w:after="267" w:line="274" w:lineRule="exact"/>
        <w:ind w:right="560"/>
        <w:jc w:val="both"/>
      </w:pPr>
      <w:r>
        <w:rPr>
          <w:rStyle w:val="Bodytext2Bold"/>
        </w:rPr>
        <w:t xml:space="preserve">Производитель, ответственный за выпуск партии: </w:t>
      </w:r>
      <w:r>
        <w:t>Др. Густав Кляйн ГмбХ &amp; Ко. КГ, адрес: Штайненфельд 3, 77736 Целль ам Хармерсбах, Германия</w:t>
      </w:r>
    </w:p>
    <w:p w14:paraId="424AFE01" w14:textId="77777777" w:rsidR="00505B08" w:rsidRDefault="00E151CA">
      <w:pPr>
        <w:pStyle w:val="Bodytext20"/>
        <w:shd w:val="clear" w:color="auto" w:fill="auto"/>
        <w:spacing w:after="450" w:line="240" w:lineRule="exact"/>
        <w:jc w:val="both"/>
      </w:pPr>
      <w:r>
        <w:rPr>
          <w:rStyle w:val="Bodytext2Bold"/>
        </w:rPr>
        <w:t xml:space="preserve">Произведено для: </w:t>
      </w:r>
      <w:r>
        <w:t>Альпен Фарма АГ, Берн, Швейцария</w:t>
      </w:r>
    </w:p>
    <w:p w14:paraId="51FF5291" w14:textId="77777777" w:rsidR="00505B08" w:rsidRDefault="00E151CA">
      <w:pPr>
        <w:pStyle w:val="Bodytext20"/>
        <w:shd w:val="clear" w:color="auto" w:fill="auto"/>
        <w:spacing w:after="0" w:line="293" w:lineRule="exact"/>
        <w:ind w:right="720"/>
        <w:jc w:val="both"/>
      </w:pPr>
      <w:r>
        <w:rPr>
          <w:rStyle w:val="Bodytext2Bold"/>
        </w:rPr>
        <w:t xml:space="preserve">Организация уполномоченная принимать претензии от потребителей в Республике Армения: </w:t>
      </w:r>
      <w:r>
        <w:t>Представительство Альпен Фарма АГ, Берн, Швейцария в Республике Армения, ул. Гр. Кочара 4, офис 400, ВЦ Барекамутюн, 0033 Армения, Ереван.</w:t>
      </w:r>
    </w:p>
    <w:p w14:paraId="4B0F5539" w14:textId="77777777" w:rsidR="00505B08" w:rsidRDefault="00E151CA">
      <w:pPr>
        <w:pStyle w:val="Bodytext20"/>
        <w:shd w:val="clear" w:color="auto" w:fill="auto"/>
        <w:spacing w:after="0" w:line="240" w:lineRule="exact"/>
        <w:jc w:val="both"/>
      </w:pPr>
      <w:r>
        <w:t>+ 374 11 20 50 31</w:t>
      </w:r>
    </w:p>
    <w:p w14:paraId="4C0DEC12" w14:textId="77777777" w:rsidR="00505B08" w:rsidRDefault="00E151CA">
      <w:pPr>
        <w:pStyle w:val="Bodytext30"/>
        <w:shd w:val="clear" w:color="auto" w:fill="auto"/>
        <w:spacing w:after="24" w:line="120" w:lineRule="exact"/>
        <w:jc w:val="both"/>
      </w:pPr>
      <w:r>
        <w:t>организация уполномоченная принимать претензии от потребителей в Республик^</w:t>
      </w:r>
    </w:p>
    <w:p w14:paraId="4D265B09" w14:textId="77777777" w:rsidR="00505B08" w:rsidRDefault="00E151CA">
      <w:pPr>
        <w:pStyle w:val="Bodytext20"/>
        <w:shd w:val="clear" w:color="auto" w:fill="auto"/>
        <w:spacing w:after="0" w:line="240" w:lineRule="exact"/>
        <w:jc w:val="both"/>
      </w:pPr>
      <w:r>
        <w:rPr>
          <w:rStyle w:val="Bodytext2Bold"/>
        </w:rPr>
        <w:t xml:space="preserve">Казахстан: </w:t>
      </w:r>
      <w:r>
        <w:t>ТОО «Альпен Фарма», Республика Казахстан, Алматинская оба.. Карасайский</w:t>
      </w:r>
    </w:p>
    <w:p w14:paraId="537F42B5" w14:textId="77777777" w:rsidR="00505B08" w:rsidRDefault="00E151CA">
      <w:pPr>
        <w:pStyle w:val="Bodytext20"/>
        <w:shd w:val="clear" w:color="auto" w:fill="auto"/>
        <w:spacing w:after="1679" w:line="307" w:lineRule="exact"/>
        <w:ind w:right="540"/>
        <w:jc w:val="left"/>
      </w:pPr>
      <w:r>
        <w:t>район, Елтайский сельский округ, с. Кокузек, строение 1044, индекс 040114. Тел./факс: + 7 727 232-34-73, + 7 727 232-34-74. Е-шаП: т&amp;.ка2акЬ§1ап@а1репрЬагта.сот</w:t>
      </w:r>
    </w:p>
    <w:p w14:paraId="29A56FFC" w14:textId="77777777" w:rsidR="00505B08" w:rsidRDefault="00505B08">
      <w:pPr>
        <w:rPr>
          <w:sz w:val="2"/>
          <w:szCs w:val="2"/>
        </w:rPr>
      </w:pPr>
      <w:bookmarkStart w:id="3" w:name="_GoBack"/>
      <w:bookmarkEnd w:id="3"/>
    </w:p>
    <w:p w14:paraId="4AC5E7C5" w14:textId="77777777" w:rsidR="00505B08" w:rsidRDefault="00505B08">
      <w:pPr>
        <w:rPr>
          <w:sz w:val="2"/>
          <w:szCs w:val="2"/>
        </w:rPr>
      </w:pPr>
    </w:p>
    <w:sectPr w:rsidR="00505B08">
      <w:pgSz w:w="11900" w:h="16840"/>
      <w:pgMar w:top="893" w:right="462" w:bottom="232" w:left="1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14A5" w14:textId="77777777" w:rsidR="000F64AB" w:rsidRDefault="00E151CA">
      <w:r>
        <w:separator/>
      </w:r>
    </w:p>
  </w:endnote>
  <w:endnote w:type="continuationSeparator" w:id="0">
    <w:p w14:paraId="7BF04F23" w14:textId="77777777" w:rsidR="000F64AB" w:rsidRDefault="00E1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93E37" w14:textId="77777777" w:rsidR="00505B08" w:rsidRDefault="00505B08"/>
  </w:footnote>
  <w:footnote w:type="continuationSeparator" w:id="0">
    <w:p w14:paraId="73810649" w14:textId="77777777" w:rsidR="00505B08" w:rsidRDefault="00505B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08"/>
    <w:rsid w:val="000F64AB"/>
    <w:rsid w:val="00505B08"/>
    <w:rsid w:val="009812BD"/>
    <w:rsid w:val="00DA5E2B"/>
    <w:rsid w:val="00E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1AF6"/>
  <w15:docId w15:val="{84E39559-7EF9-488C-A9F5-BDFF5FF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40"/>
      <w:szCs w:val="40"/>
      <w:u w:val="none"/>
    </w:rPr>
  </w:style>
  <w:style w:type="character" w:customStyle="1" w:styleId="Heading11">
    <w:name w:val="Heading #1"/>
    <w:basedOn w:val="Heading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2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120" w:lineRule="exact"/>
      <w:outlineLvl w:val="0"/>
    </w:pPr>
    <w:rPr>
      <w:rFonts w:ascii="Consolas" w:eastAsia="Consolas" w:hAnsi="Consolas" w:cs="Consolas"/>
      <w:b/>
      <w:bCs/>
      <w:spacing w:val="-4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0c492afb719049a7ecf416406262f634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422c632e1624b64fed85d79a3a1b6280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65D85-8A7D-4FC2-A068-23E63D246397}">
  <ds:schemaRefs>
    <ds:schemaRef ds:uri="http://schemas.microsoft.com/office/2006/documentManagement/types"/>
    <ds:schemaRef ds:uri="03668d5e-0d8c-4e67-93db-c92cd3277d59"/>
    <ds:schemaRef ds:uri="http://schemas.microsoft.com/office/2006/metadata/properties"/>
    <ds:schemaRef ds:uri="http://purl.org/dc/elements/1.1/"/>
    <ds:schemaRef ds:uri="f569a72d-1621-4d88-8c3c-2aea688583ba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4D57E2-4CDA-4502-971E-0865D3A5A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BD239-513F-4723-9BC0-1851855E8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Shynar</dc:creator>
  <cp:lastModifiedBy>Shynar Sissengaliyeva</cp:lastModifiedBy>
  <cp:revision>7</cp:revision>
  <dcterms:created xsi:type="dcterms:W3CDTF">2024-06-21T10:24:00Z</dcterms:created>
  <dcterms:modified xsi:type="dcterms:W3CDTF">2024-06-21T10:27:00Z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